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700" w:lineRule="exact"/>
        <w:ind w:left="0" w:leftChars="0" w:right="0" w:rightChars="0" w:firstLine="0" w:firstLineChars="0"/>
        <w:jc w:val="both"/>
        <w:textAlignment w:val="auto"/>
        <w:rPr>
          <w:rFonts w:hint="eastAsia" w:ascii="方正小标宋简体" w:hAnsi="方正小标宋简体" w:eastAsia="方正小标宋简体" w:cs="方正小标宋简体"/>
          <w:sz w:val="44"/>
          <w:szCs w:val="44"/>
          <w:lang w:val="en-US" w:eastAsia="zh-CN"/>
        </w:rPr>
      </w:pPr>
      <w:bookmarkStart w:id="0" w:name="OLE_LINK1"/>
    </w:p>
    <w:bookmarkEnd w:id="0"/>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val="0"/>
        <w:kinsoku/>
        <w:wordWrap/>
        <w:overflowPunct w:val="0"/>
        <w:topLinePunct w:val="0"/>
        <w:autoSpaceDE/>
        <w:autoSpaceDN/>
        <w:bidi w:val="0"/>
        <w:adjustRightInd/>
        <w:snapToGrid/>
        <w:spacing w:line="560" w:lineRule="exact"/>
        <w:ind w:left="0" w:firstLine="640" w:firstLineChars="200"/>
        <w:jc w:val="center"/>
        <w:textAlignment w:val="auto"/>
        <w:rPr>
          <w:rFonts w:hint="eastAsia" w:ascii="楷体_GB2312" w:hAnsi="楷体_GB2312" w:eastAsia="楷体_GB2312" w:cs="楷体_GB2312"/>
          <w:sz w:val="32"/>
          <w:szCs w:val="32"/>
          <w:lang w:val="en-US" w:eastAsia="zh-CN"/>
        </w:rPr>
      </w:pPr>
      <w:bookmarkStart w:id="1" w:name="_GoBack"/>
      <w:r>
        <w:rPr>
          <w:rFonts w:hint="eastAsia" w:ascii="楷体_GB2312" w:hAnsi="楷体_GB2312" w:eastAsia="楷体_GB2312" w:cs="楷体_GB2312"/>
          <w:sz w:val="32"/>
          <w:szCs w:val="32"/>
          <w:lang w:val="en-US" w:eastAsia="zh-CN"/>
        </w:rPr>
        <w:t>开发区党工委副书记、副主任  姚景春</w:t>
      </w:r>
    </w:p>
    <w:bookmarkEnd w:id="1"/>
    <w:p>
      <w:pPr>
        <w:keepNext w:val="0"/>
        <w:keepLines w:val="0"/>
        <w:pageBreakBefore w:val="0"/>
        <w:widowControl w:val="0"/>
        <w:kinsoku/>
        <w:wordWrap/>
        <w:overflowPunct w:val="0"/>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2023年，开发区坚持以习近平新时代中国特色社会主义思想为指导，深入学习贯彻习近平法治思想，积极履行推进法制建设第一责任人职责，现将2023年主要负责人履行法治建设第一责任人情况述法报告如下：</w:t>
      </w:r>
    </w:p>
    <w:p>
      <w:pPr>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提高政治站位，以新时代法治思想武装头脑</w:t>
      </w:r>
    </w:p>
    <w:p>
      <w:pPr>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以习近平新时代中国特色社会主义思想为指导，带头认真学习贯彻习近平法治思想和习近平总书记对河南工作的重要指示批示精神，深入贯彻落实县委县政府关于推进法治政府建设的部署要求，自觉运用法治思维和法治方式深化改革、推动发展、化解矛盾、维护稳定，对法制建设重要工作亲自部署、重大问题亲自过问、重点环节亲自协调、重要任务亲自督办，推动开发区法治政府建设取得明显成效。</w:t>
      </w:r>
    </w:p>
    <w:p>
      <w:pPr>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将法治政府建设工作纳入开发区党工委议事范围，在年度工作计划与经济发展、项目建设、安全生产等重点工作同部署、同推进。二是坚持中心组理论学习制度，专题学习习近平法治思想、习近平总书记视察河南重要讲话精神和《宪法》、《民法典》等重要法律法规。三是全面推行权利清单和责任清单制度，压实领导干部推进法治政府建设责任。</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0" w:leftChars="0" w:firstLine="640" w:firstLineChars="200"/>
        <w:textAlignment w:val="auto"/>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二、依法履职尽责，法治能力建设进一步增强</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一</w:t>
      </w:r>
      <w:r>
        <w:rPr>
          <w:rFonts w:hint="default" w:ascii="仿宋_GB2312" w:hAnsi="仿宋_GB2312" w:eastAsia="仿宋_GB2312" w:cs="仿宋_GB2312"/>
          <w:sz w:val="32"/>
          <w:szCs w:val="32"/>
          <w:lang w:val="en-US" w:eastAsia="zh-CN"/>
        </w:rPr>
        <w:t>）建立健全重大决策规则和程序。认真实施“三重一大”事项集体决策制度，</w:t>
      </w:r>
      <w:r>
        <w:rPr>
          <w:rFonts w:hint="eastAsia" w:ascii="仿宋_GB2312" w:hAnsi="仿宋_GB2312" w:eastAsia="仿宋_GB2312" w:cs="仿宋_GB2312"/>
          <w:sz w:val="32"/>
          <w:szCs w:val="32"/>
          <w:lang w:val="en-US" w:eastAsia="zh-CN"/>
        </w:rPr>
        <w:t>共召开主任办公扩大会13次，</w:t>
      </w:r>
      <w:r>
        <w:rPr>
          <w:rFonts w:hint="default" w:ascii="仿宋_GB2312" w:hAnsi="仿宋_GB2312" w:eastAsia="仿宋_GB2312" w:cs="仿宋_GB2312"/>
          <w:sz w:val="32"/>
          <w:szCs w:val="32"/>
          <w:lang w:val="en-US" w:eastAsia="zh-CN"/>
        </w:rPr>
        <w:t>决策民主化、科学化水平进一步提高。</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二</w:t>
      </w:r>
      <w:r>
        <w:rPr>
          <w:rFonts w:hint="default" w:ascii="仿宋_GB2312" w:hAnsi="仿宋_GB2312" w:eastAsia="仿宋_GB2312" w:cs="仿宋_GB2312"/>
          <w:sz w:val="32"/>
          <w:szCs w:val="32"/>
          <w:lang w:val="en-US" w:eastAsia="zh-CN"/>
        </w:rPr>
        <w:t>）强化规范性文件制定管理。认真落实规范性文件制定和备案规定，建立健全重大决策合法性审查机制，认真落实各类规范性文件的公平竞争和合法性审查制度，20</w:t>
      </w:r>
      <w:r>
        <w:rPr>
          <w:rFonts w:hint="eastAsia" w:ascii="仿宋_GB2312" w:hAnsi="仿宋_GB2312" w:eastAsia="仿宋_GB2312" w:cs="仿宋_GB2312"/>
          <w:sz w:val="32"/>
          <w:szCs w:val="32"/>
          <w:lang w:val="en-US" w:eastAsia="zh-CN"/>
        </w:rPr>
        <w:t>23</w:t>
      </w:r>
      <w:r>
        <w:rPr>
          <w:rFonts w:hint="default" w:ascii="仿宋_GB2312" w:hAnsi="仿宋_GB2312" w:eastAsia="仿宋_GB2312" w:cs="仿宋_GB2312"/>
          <w:sz w:val="32"/>
          <w:szCs w:val="32"/>
          <w:lang w:val="en-US" w:eastAsia="zh-CN"/>
        </w:rPr>
        <w:t>年度我</w:t>
      </w:r>
      <w:r>
        <w:rPr>
          <w:rFonts w:hint="eastAsia" w:ascii="仿宋_GB2312" w:hAnsi="仿宋_GB2312" w:eastAsia="仿宋_GB2312" w:cs="仿宋_GB2312"/>
          <w:sz w:val="32"/>
          <w:szCs w:val="32"/>
          <w:lang w:val="en-US" w:eastAsia="zh-CN"/>
        </w:rPr>
        <w:t>单位</w:t>
      </w:r>
      <w:r>
        <w:rPr>
          <w:rFonts w:hint="default" w:ascii="仿宋_GB2312" w:hAnsi="仿宋_GB2312" w:eastAsia="仿宋_GB2312" w:cs="仿宋_GB2312"/>
          <w:sz w:val="32"/>
          <w:szCs w:val="32"/>
          <w:lang w:val="en-US" w:eastAsia="zh-CN"/>
        </w:rPr>
        <w:t>起草规范性文件0份。</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0" w:leftChars="0"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三、存在的主要问题</w:t>
      </w:r>
    </w:p>
    <w:p>
      <w:pPr>
        <w:keepNext w:val="0"/>
        <w:keepLines w:val="0"/>
        <w:pageBreakBefore w:val="0"/>
        <w:widowControl w:val="0"/>
        <w:kinsoku/>
        <w:wordWrap/>
        <w:overflowPunct w:val="0"/>
        <w:topLinePunct w:val="0"/>
        <w:autoSpaceDE/>
        <w:autoSpaceDN/>
        <w:bidi w:val="0"/>
        <w:adjustRightInd/>
        <w:snapToGrid/>
        <w:spacing w:line="590" w:lineRule="exact"/>
        <w:ind w:left="0" w:firstLine="640" w:firstLineChars="200"/>
        <w:textAlignment w:val="auto"/>
        <w:rPr>
          <w:rFonts w:hint="eastAsia" w:ascii="仿宋_GB2312" w:eastAsia="仿宋_GB2312"/>
          <w:sz w:val="32"/>
          <w:szCs w:val="32"/>
        </w:rPr>
      </w:pPr>
      <w:r>
        <w:rPr>
          <w:rFonts w:hint="eastAsia" w:ascii="仿宋_GB2312" w:eastAsia="仿宋_GB2312"/>
          <w:sz w:val="32"/>
          <w:szCs w:val="32"/>
        </w:rPr>
        <w:t>对标对表20</w:t>
      </w:r>
      <w:r>
        <w:rPr>
          <w:rFonts w:hint="eastAsia" w:ascii="仿宋_GB2312" w:eastAsia="仿宋_GB2312"/>
          <w:sz w:val="32"/>
          <w:szCs w:val="32"/>
          <w:lang w:val="en-US" w:eastAsia="zh-CN"/>
        </w:rPr>
        <w:t>23</w:t>
      </w:r>
      <w:r>
        <w:rPr>
          <w:rFonts w:hint="eastAsia" w:ascii="仿宋_GB2312" w:eastAsia="仿宋_GB2312"/>
          <w:sz w:val="32"/>
          <w:szCs w:val="32"/>
        </w:rPr>
        <w:t>年</w:t>
      </w:r>
      <w:r>
        <w:rPr>
          <w:rFonts w:hint="eastAsia" w:ascii="仿宋_GB2312" w:eastAsia="仿宋_GB2312"/>
          <w:sz w:val="32"/>
          <w:szCs w:val="32"/>
          <w:lang w:val="en-US" w:eastAsia="zh-CN"/>
        </w:rPr>
        <w:t>开发区</w:t>
      </w:r>
      <w:r>
        <w:rPr>
          <w:rFonts w:hint="eastAsia" w:ascii="仿宋_GB2312" w:eastAsia="仿宋_GB2312"/>
          <w:sz w:val="32"/>
          <w:szCs w:val="32"/>
        </w:rPr>
        <w:t>法治政府建设工作要求，结合</w:t>
      </w:r>
      <w:r>
        <w:rPr>
          <w:rFonts w:hint="eastAsia" w:ascii="仿宋_GB2312" w:eastAsia="仿宋_GB2312"/>
          <w:sz w:val="32"/>
          <w:szCs w:val="32"/>
          <w:lang w:val="en-US" w:eastAsia="zh-CN"/>
        </w:rPr>
        <w:t>开发区工作实际，</w:t>
      </w:r>
      <w:r>
        <w:rPr>
          <w:rFonts w:hint="eastAsia" w:ascii="仿宋_GB2312" w:eastAsia="仿宋_GB2312"/>
          <w:sz w:val="32"/>
          <w:szCs w:val="32"/>
        </w:rPr>
        <w:t>在法治政府建设方面虽然取得了较为明显的进展，但仍存在一些问题和薄弱环节，主要表现在三个方面：一是依法行政能力还需要进一步加强；二是法治政府建设与业务工作的联系还不够紧密；三是目前</w:t>
      </w:r>
      <w:r>
        <w:rPr>
          <w:rFonts w:hint="eastAsia" w:ascii="仿宋_GB2312" w:eastAsia="仿宋_GB2312"/>
          <w:sz w:val="32"/>
          <w:szCs w:val="32"/>
          <w:lang w:val="en-US" w:eastAsia="zh-CN"/>
        </w:rPr>
        <w:t>根据开发区体制机制改革，开发区取消了行政工作人员执法权，</w:t>
      </w:r>
      <w:r>
        <w:rPr>
          <w:rFonts w:hint="eastAsia" w:ascii="仿宋_GB2312" w:eastAsia="仿宋_GB2312"/>
          <w:sz w:val="32"/>
          <w:szCs w:val="32"/>
        </w:rPr>
        <w:t>没有行政工作人员持有执法资格证，目前没有行政执法人员。</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0" w:leftChars="0"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四、下一步工作思路</w:t>
      </w:r>
    </w:p>
    <w:p>
      <w:pPr>
        <w:keepNext w:val="0"/>
        <w:keepLines w:val="0"/>
        <w:pageBreakBefore w:val="0"/>
        <w:widowControl w:val="0"/>
        <w:kinsoku/>
        <w:wordWrap/>
        <w:overflowPunct w:val="0"/>
        <w:topLinePunct w:val="0"/>
        <w:autoSpaceDE/>
        <w:autoSpaceDN/>
        <w:bidi w:val="0"/>
        <w:adjustRightInd/>
        <w:snapToGrid/>
        <w:spacing w:line="590" w:lineRule="exact"/>
        <w:ind w:left="0" w:firstLine="640" w:firstLineChars="200"/>
        <w:textAlignment w:val="auto"/>
        <w:rPr>
          <w:rFonts w:hint="eastAsia"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23</w:t>
      </w:r>
      <w:r>
        <w:rPr>
          <w:rFonts w:hint="eastAsia" w:ascii="仿宋_GB2312" w:eastAsia="仿宋_GB2312"/>
          <w:sz w:val="32"/>
          <w:szCs w:val="32"/>
        </w:rPr>
        <w:t>年</w:t>
      </w:r>
      <w:r>
        <w:rPr>
          <w:rFonts w:hint="eastAsia" w:ascii="仿宋_GB2312" w:eastAsia="仿宋_GB2312"/>
          <w:sz w:val="32"/>
          <w:szCs w:val="32"/>
          <w:lang w:val="en-US" w:eastAsia="zh-CN"/>
        </w:rPr>
        <w:t>开发区</w:t>
      </w:r>
      <w:r>
        <w:rPr>
          <w:rFonts w:hint="eastAsia" w:ascii="仿宋_GB2312" w:eastAsia="仿宋_GB2312"/>
          <w:sz w:val="32"/>
          <w:szCs w:val="32"/>
        </w:rPr>
        <w:t>的法治建设工作虽然取得了一定成绩，但也存在一些不足、困难和问题。下一步</w:t>
      </w:r>
      <w:r>
        <w:rPr>
          <w:rFonts w:hint="eastAsia" w:ascii="仿宋_GB2312" w:eastAsia="仿宋_GB2312"/>
          <w:sz w:val="32"/>
          <w:szCs w:val="32"/>
          <w:lang w:val="en-US" w:eastAsia="zh-CN"/>
        </w:rPr>
        <w:t>我们</w:t>
      </w:r>
      <w:r>
        <w:rPr>
          <w:rFonts w:hint="eastAsia" w:ascii="仿宋_GB2312" w:eastAsia="仿宋_GB2312"/>
          <w:sz w:val="32"/>
          <w:szCs w:val="32"/>
        </w:rPr>
        <w:t>将深入贯彻落实</w:t>
      </w:r>
      <w:r>
        <w:rPr>
          <w:rFonts w:hint="eastAsia" w:ascii="仿宋_GB2312" w:eastAsia="仿宋_GB2312"/>
          <w:sz w:val="32"/>
          <w:szCs w:val="32"/>
          <w:lang w:val="en-US" w:eastAsia="zh-CN"/>
        </w:rPr>
        <w:t>党的二十大</w:t>
      </w:r>
      <w:r>
        <w:rPr>
          <w:rFonts w:hint="eastAsia" w:ascii="仿宋_GB2312" w:eastAsia="仿宋_GB2312"/>
          <w:sz w:val="32"/>
          <w:szCs w:val="32"/>
        </w:rPr>
        <w:t>精神，围绕</w:t>
      </w:r>
      <w:r>
        <w:rPr>
          <w:rFonts w:hint="eastAsia" w:ascii="仿宋_GB2312" w:eastAsia="仿宋_GB2312"/>
          <w:sz w:val="32"/>
          <w:szCs w:val="32"/>
          <w:lang w:val="en-US" w:eastAsia="zh-CN"/>
        </w:rPr>
        <w:t>县委县政府</w:t>
      </w:r>
      <w:r>
        <w:rPr>
          <w:rFonts w:hint="eastAsia" w:ascii="仿宋_GB2312" w:eastAsia="仿宋_GB2312"/>
          <w:sz w:val="32"/>
          <w:szCs w:val="32"/>
        </w:rPr>
        <w:t>法治政府建设，结合本</w:t>
      </w:r>
      <w:r>
        <w:rPr>
          <w:rFonts w:hint="eastAsia" w:ascii="仿宋_GB2312" w:eastAsia="仿宋_GB2312"/>
          <w:sz w:val="32"/>
          <w:szCs w:val="32"/>
          <w:lang w:val="en-US" w:eastAsia="zh-CN"/>
        </w:rPr>
        <w:t>单位</w:t>
      </w:r>
      <w:r>
        <w:rPr>
          <w:rFonts w:hint="eastAsia" w:ascii="仿宋_GB2312" w:eastAsia="仿宋_GB2312"/>
          <w:sz w:val="32"/>
          <w:szCs w:val="32"/>
        </w:rPr>
        <w:t>总体工作规划，明确下年度工作计划，切实落实法治政府建设各项工作，全面推进法治建设。</w:t>
      </w:r>
    </w:p>
    <w:p>
      <w:pPr>
        <w:keepNext w:val="0"/>
        <w:keepLines w:val="0"/>
        <w:pageBreakBefore w:val="0"/>
        <w:widowControl w:val="0"/>
        <w:kinsoku/>
        <w:wordWrap/>
        <w:overflowPunct w:val="0"/>
        <w:topLinePunct w:val="0"/>
        <w:autoSpaceDE/>
        <w:autoSpaceDN/>
        <w:bidi w:val="0"/>
        <w:adjustRightInd/>
        <w:snapToGrid/>
        <w:spacing w:line="590" w:lineRule="exact"/>
        <w:ind w:left="0" w:firstLine="640" w:firstLineChars="200"/>
        <w:textAlignment w:val="auto"/>
        <w:rPr>
          <w:rFonts w:hint="eastAsia" w:ascii="仿宋_GB2312" w:eastAsia="仿宋_GB2312"/>
          <w:sz w:val="32"/>
          <w:szCs w:val="32"/>
        </w:rPr>
      </w:pPr>
      <w:r>
        <w:rPr>
          <w:rFonts w:hint="eastAsia" w:ascii="仿宋_GB2312" w:eastAsia="仿宋_GB2312"/>
          <w:sz w:val="32"/>
          <w:szCs w:val="32"/>
        </w:rPr>
        <w:t>（一）强化法治学习培训。一是继续加强法治宣传教育，落实领导干部学法用法制度，及时开展新颁布、新修订的政策规章和法律知识学习，加强廉政反腐教育，增强</w:t>
      </w:r>
      <w:r>
        <w:rPr>
          <w:rFonts w:hint="eastAsia" w:ascii="仿宋_GB2312" w:eastAsia="仿宋_GB2312"/>
          <w:sz w:val="32"/>
          <w:szCs w:val="32"/>
          <w:lang w:val="en-US" w:eastAsia="zh-CN"/>
        </w:rPr>
        <w:t>单位</w:t>
      </w:r>
      <w:r>
        <w:rPr>
          <w:rFonts w:hint="eastAsia" w:ascii="仿宋_GB2312" w:eastAsia="仿宋_GB2312"/>
          <w:sz w:val="32"/>
          <w:szCs w:val="32"/>
        </w:rPr>
        <w:t>人员的法律素养和依法行政意识。二是充分发挥作用，加大教育培训力度，利用</w:t>
      </w:r>
      <w:r>
        <w:rPr>
          <w:rFonts w:hint="eastAsia" w:ascii="仿宋_GB2312" w:eastAsia="仿宋_GB2312"/>
          <w:sz w:val="32"/>
          <w:szCs w:val="32"/>
          <w:lang w:val="en-US" w:eastAsia="zh-CN"/>
        </w:rPr>
        <w:t>开发</w:t>
      </w:r>
      <w:r>
        <w:rPr>
          <w:rFonts w:hint="eastAsia" w:ascii="仿宋_GB2312" w:eastAsia="仿宋_GB2312"/>
          <w:sz w:val="32"/>
          <w:szCs w:val="32"/>
        </w:rPr>
        <w:t>区企业的LED屏幕和广播，滚动播放法治宣传内容，形成学法懂法的浓厚氛围，进一步增强了法治宣传互动性和教育效果，让人民群众全面了解司法行政和普法教育工作在服务发展大局中发挥的重要作用。</w:t>
      </w:r>
    </w:p>
    <w:p>
      <w:pPr>
        <w:keepNext w:val="0"/>
        <w:keepLines w:val="0"/>
        <w:pageBreakBefore w:val="0"/>
        <w:widowControl w:val="0"/>
        <w:kinsoku/>
        <w:wordWrap/>
        <w:overflowPunct w:val="0"/>
        <w:topLinePunct w:val="0"/>
        <w:autoSpaceDE/>
        <w:autoSpaceDN/>
        <w:bidi w:val="0"/>
        <w:adjustRightInd/>
        <w:snapToGrid/>
        <w:spacing w:line="590" w:lineRule="exact"/>
        <w:ind w:left="0" w:firstLine="640" w:firstLineChars="200"/>
        <w:textAlignment w:val="auto"/>
        <w:rPr>
          <w:rFonts w:hint="eastAsia" w:ascii="仿宋_GB2312" w:eastAsia="仿宋_GB2312"/>
          <w:spacing w:val="6"/>
          <w:sz w:val="32"/>
          <w:szCs w:val="32"/>
        </w:rPr>
      </w:pPr>
      <w:r>
        <w:rPr>
          <w:rFonts w:hint="eastAsia" w:ascii="仿宋_GB2312" w:eastAsia="仿宋_GB2312"/>
          <w:sz w:val="32"/>
          <w:szCs w:val="32"/>
        </w:rPr>
        <w:t>（二）加强法制干部的理论和业务素质教育，开展行政复议和</w:t>
      </w:r>
      <w:r>
        <w:rPr>
          <w:rFonts w:hint="eastAsia" w:ascii="仿宋_GB2312" w:eastAsia="仿宋_GB2312"/>
          <w:spacing w:val="6"/>
          <w:sz w:val="32"/>
          <w:szCs w:val="32"/>
        </w:rPr>
        <w:t>行政诉讼等业务的学习培训，提高依法行政工作的质量和成效。</w:t>
      </w:r>
    </w:p>
    <w:p>
      <w:pPr>
        <w:keepNext w:val="0"/>
        <w:keepLines w:val="0"/>
        <w:pageBreakBefore w:val="0"/>
        <w:widowControl w:val="0"/>
        <w:kinsoku/>
        <w:wordWrap/>
        <w:overflowPunct w:val="0"/>
        <w:topLinePunct w:val="0"/>
        <w:autoSpaceDE/>
        <w:autoSpaceDN/>
        <w:bidi w:val="0"/>
        <w:adjustRightInd/>
        <w:snapToGrid/>
        <w:spacing w:line="590" w:lineRule="exact"/>
        <w:ind w:left="0" w:firstLine="640" w:firstLineChars="200"/>
        <w:textAlignment w:val="auto"/>
        <w:rPr>
          <w:rFonts w:hint="eastAsia" w:ascii="仿宋_GB2312" w:eastAsia="仿宋_GB2312"/>
          <w:sz w:val="32"/>
          <w:szCs w:val="32"/>
        </w:rPr>
      </w:pPr>
      <w:r>
        <w:rPr>
          <w:rFonts w:hint="eastAsia" w:ascii="仿宋_GB2312" w:eastAsia="仿宋_GB2312"/>
          <w:sz w:val="32"/>
          <w:szCs w:val="32"/>
        </w:rPr>
        <w:t>（三）紧紧围绕工作实际，贯彻落实</w:t>
      </w:r>
      <w:r>
        <w:rPr>
          <w:rFonts w:hint="eastAsia" w:ascii="仿宋_GB2312" w:eastAsia="仿宋_GB2312"/>
          <w:sz w:val="32"/>
          <w:szCs w:val="32"/>
          <w:lang w:val="en-US" w:eastAsia="zh-CN"/>
        </w:rPr>
        <w:t>县委、县人民政府</w:t>
      </w:r>
      <w:r>
        <w:rPr>
          <w:rFonts w:hint="eastAsia" w:ascii="仿宋_GB2312" w:eastAsia="仿宋_GB2312"/>
          <w:sz w:val="32"/>
          <w:szCs w:val="32"/>
        </w:rPr>
        <w:t>关于法治政府建设工作的有关要求，严格依法行政，</w:t>
      </w:r>
      <w:r>
        <w:rPr>
          <w:rFonts w:hint="eastAsia" w:ascii="仿宋_GB2312" w:eastAsia="仿宋_GB2312"/>
          <w:sz w:val="32"/>
          <w:szCs w:val="32"/>
          <w:lang w:val="en-US" w:eastAsia="zh-CN"/>
        </w:rPr>
        <w:t>提升依法行政服务能力</w:t>
      </w:r>
      <w:r>
        <w:rPr>
          <w:rFonts w:hint="eastAsia" w:ascii="仿宋_GB2312" w:eastAsia="仿宋_GB2312"/>
          <w:sz w:val="32"/>
          <w:szCs w:val="32"/>
        </w:rPr>
        <w:t>，推进</w:t>
      </w:r>
      <w:r>
        <w:rPr>
          <w:rFonts w:hint="eastAsia" w:ascii="仿宋_GB2312" w:eastAsia="仿宋_GB2312"/>
          <w:sz w:val="32"/>
          <w:szCs w:val="32"/>
          <w:lang w:val="en-US" w:eastAsia="zh-CN"/>
        </w:rPr>
        <w:t>开发区</w:t>
      </w:r>
      <w:r>
        <w:rPr>
          <w:rFonts w:hint="eastAsia" w:ascii="仿宋_GB2312" w:eastAsia="仿宋_GB2312"/>
          <w:sz w:val="32"/>
          <w:szCs w:val="32"/>
        </w:rPr>
        <w:t>法治政府建设工作再上新台阶。</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0" w:leftChars="0"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0" w:leftChars="0" w:firstLine="640" w:firstLineChars="200"/>
        <w:textAlignment w:val="auto"/>
        <w:rPr>
          <w:rFonts w:hint="default" w:ascii="仿宋_GB2312" w:hAnsi="仿宋_GB2312" w:eastAsia="仿宋_GB2312" w:cs="仿宋_GB2312"/>
          <w:sz w:val="32"/>
          <w:szCs w:val="32"/>
          <w:lang w:val="en-US" w:eastAsia="zh-CN"/>
        </w:rPr>
      </w:pPr>
    </w:p>
    <w:sectPr>
      <w:footerReference r:id="rId3" w:type="default"/>
      <w:pgSz w:w="11906" w:h="16838"/>
      <w:pgMar w:top="2098" w:right="1474" w:bottom="1984" w:left="1587" w:header="851" w:footer="1559"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44"/>
                      </w:rPr>
                    </w:pPr>
                    <w:r>
                      <w:rPr>
                        <w:rFonts w:hint="eastAsia" w:asciiTheme="minorEastAsia" w:hAnsiTheme="minorEastAsia" w:eastAsiaTheme="minorEastAsia" w:cstheme="minorEastAsia"/>
                        <w:sz w:val="28"/>
                        <w:szCs w:val="44"/>
                      </w:rPr>
                      <w:t xml:space="preserve">— </w:t>
                    </w:r>
                    <w:r>
                      <w:rPr>
                        <w:rFonts w:hint="eastAsia" w:asciiTheme="minorEastAsia" w:hAnsiTheme="minorEastAsia" w:eastAsiaTheme="minorEastAsia" w:cstheme="minorEastAsia"/>
                        <w:sz w:val="28"/>
                        <w:szCs w:val="44"/>
                      </w:rPr>
                      <w:fldChar w:fldCharType="begin"/>
                    </w:r>
                    <w:r>
                      <w:rPr>
                        <w:rFonts w:hint="eastAsia" w:asciiTheme="minorEastAsia" w:hAnsiTheme="minorEastAsia" w:eastAsiaTheme="minorEastAsia" w:cstheme="minorEastAsia"/>
                        <w:sz w:val="28"/>
                        <w:szCs w:val="44"/>
                      </w:rPr>
                      <w:instrText xml:space="preserve"> PAGE  \* MERGEFORMAT </w:instrText>
                    </w:r>
                    <w:r>
                      <w:rPr>
                        <w:rFonts w:hint="eastAsia" w:asciiTheme="minorEastAsia" w:hAnsiTheme="minorEastAsia" w:eastAsiaTheme="minorEastAsia" w:cstheme="minorEastAsia"/>
                        <w:sz w:val="28"/>
                        <w:szCs w:val="44"/>
                      </w:rPr>
                      <w:fldChar w:fldCharType="separate"/>
                    </w:r>
                    <w:r>
                      <w:rPr>
                        <w:rFonts w:hint="eastAsia" w:asciiTheme="minorEastAsia" w:hAnsiTheme="minorEastAsia" w:eastAsiaTheme="minorEastAsia" w:cstheme="minorEastAsia"/>
                        <w:sz w:val="28"/>
                        <w:szCs w:val="44"/>
                      </w:rPr>
                      <w:t>1</w:t>
                    </w:r>
                    <w:r>
                      <w:rPr>
                        <w:rFonts w:hint="eastAsia" w:asciiTheme="minorEastAsia" w:hAnsiTheme="minorEastAsia" w:eastAsiaTheme="minorEastAsia" w:cstheme="minorEastAsia"/>
                        <w:sz w:val="28"/>
                        <w:szCs w:val="44"/>
                      </w:rPr>
                      <w:fldChar w:fldCharType="end"/>
                    </w:r>
                    <w:r>
                      <w:rPr>
                        <w:rFonts w:hint="eastAsia" w:asciiTheme="minorEastAsia" w:hAnsiTheme="minorEastAsia" w:eastAsiaTheme="minorEastAsia" w:cstheme="minorEastAsia"/>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DM4OTU5MGUyNTYwNTk1YzYzOThmYzg3YTdjMTAifQ=="/>
  </w:docVars>
  <w:rsids>
    <w:rsidRoot w:val="00000000"/>
    <w:rsid w:val="27D73C7A"/>
    <w:rsid w:val="38DE55D9"/>
    <w:rsid w:val="39721A8E"/>
    <w:rsid w:val="590B1FC3"/>
    <w:rsid w:val="6B7971AF"/>
    <w:rsid w:val="6C7A014F"/>
    <w:rsid w:val="712D6E17"/>
    <w:rsid w:val="7B5755C2"/>
    <w:rsid w:val="7C445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2024-01-29T06:46:00Z</dcterms:created>
  <dc:creator>DELL</dc:creator>
  <cp:lastModifiedBy>大海</cp:lastModifiedBy>
  <cp:lastPrinted>2024-01-29T08:11:00Z</cp:lastPrinted>
  <dcterms:modified xsi:type="dcterms:W3CDTF">2024-02-20T08:57:27Z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90CF6B40BE0645DC804BF346C5BAFD3F_13</vt:lpwstr>
  </property>
</Properties>
</file>